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png" ContentType="image/pn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Proposal decision pilot</w:t>
      </w:r>
    </w:p>
    <w:p>
      <w:pPr>
        <w:pStyle w:val="Subtitle"/>
      </w:pPr>
      <w:r>
        <w:t>Suggested six week pilot with one team</w:t>
      </w:r>
    </w:p>
    <w:p>
      <w:r>
        <w:t>This illustrative proposal is written from a consulting firm to its prospective client. It contains fictional material and requires customer review before use.</w:t>
      </w:r>
    </w:p>
    <w:p>
      <w:pPr>
        <w:pStyle w:val="Heading1"/>
      </w:pPr>
      <w:r>
        <w:t>Proposed engagement</w:t>
      </w:r>
    </w:p>
    <w:p>
      <w:r>
        <w:t>We propose a six-week pilot with one team to examine the decisions and handoffs involved in proposal approval. The immediate decision is to confirm the pilot objective, the accountable reviewer and the capacity required to deliver it. Wider rollout requires a separate scope decision. [E3]</w:t>
      </w:r>
    </w:p>
    <w:p>
      <w:pPr>
        <w:pStyle w:val="Heading1"/>
      </w:pPr>
      <w:r>
        <w:t>Business context</w:t>
      </w:r>
    </w:p>
    <w:p>
      <w:r>
        <w:t>The supplied note says proposal approvals take too long. It also identifies incomplete commercial inputs and unclear approval ownership. These statements establish an issue to investigate, but they do not measure how much delay each factor causes. [E1, E2]</w:t>
      </w:r>
    </w:p>
    <w:p>
      <w:r>
        <w:t>Our working hypothesis is that decisions and handoffs may constrain the flow. We recommend mapping those decisions and testing a bounded workflow before selecting broader automation. Buying a writing tool remains an alternative to examine when the causes are better understood. No quantified improvement is promised. [H1]</w:t>
      </w:r>
    </w:p>
    <w:p>
      <w:pPr>
        <w:pStyle w:val="Heading1"/>
      </w:pPr>
      <w:r>
        <w:t>Suggested work and outputs</w:t>
      </w:r>
    </w:p>
    <w:tbl>
      <w:tblPr>
        <w:tblW w:type="auto" w:w="0"/>
        <w:jc w:val="center"/>
        <w:tblLayout w:type="fixed"/>
        <w:tblLook w:firstColumn="1" w:firstRow="1" w:lastColumn="0" w:lastRow="0" w:noHBand="0" w:noVBand="1" w:val="04A0"/>
      </w:tblPr>
      <w:tblGrid>
        <w:gridCol w:w="3024"/>
        <w:gridCol w:w="7142"/>
      </w:tblGrid>
      <w:tr>
        <w:trPr>
          <w:cantSplit/>
          <w:tblHeader/>
        </w:trPr>
        <w:tc>
          <w:tcPr>
            <w:tcW w:type="dxa" w:w="3024"/>
            <w:vAlign w:val="center"/>
            <w:shd w:fill="0C2340"/>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Work</w:t>
            </w:r>
          </w:p>
        </w:tc>
        <w:tc>
          <w:tcPr>
            <w:tcW w:type="dxa" w:w="7142"/>
            <w:vAlign w:val="center"/>
            <w:shd w:fill="0C2340"/>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Output for review</w:t>
            </w:r>
          </w:p>
        </w:tc>
      </w:tr>
      <w:tr>
        <w:trPr>
          <w:cantSplit/>
        </w:trPr>
        <w:tc>
          <w:tcPr>
            <w:tcW w:type="dxa" w:w="3024"/>
            <w:vAlign w:val="center"/>
            <w:shd w:fill="EBF3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Review the supplied material</w:t>
            </w:r>
          </w:p>
        </w:tc>
        <w:tc>
          <w:tcPr>
            <w:tcW w:type="dxa" w:w="7142"/>
            <w:vAlign w:val="center"/>
            <w:shd w:fill="EBF3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Source inventory separating supplied facts, assumptions and unanswered questions.</w:t>
            </w:r>
          </w:p>
        </w:tc>
      </w:tr>
      <w:tr>
        <w:trPr>
          <w:cantSplit/>
        </w:trPr>
        <w:tc>
          <w:tcPr>
            <w:tcW w:type="dxa" w:w="302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Map the approval decisions</w:t>
            </w:r>
          </w:p>
        </w:tc>
        <w:tc>
          <w:tcPr>
            <w:tcW w:type="dxa" w:w="7142"/>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Decision map identifying required inputs, review steps and unresolved ownership.</w:t>
            </w:r>
          </w:p>
        </w:tc>
      </w:tr>
      <w:tr>
        <w:trPr>
          <w:cantSplit/>
        </w:trPr>
        <w:tc>
          <w:tcPr>
            <w:tcW w:type="dxa" w:w="3024"/>
            <w:vAlign w:val="center"/>
            <w:shd w:fill="EBF3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Test the bounded workflow</w:t>
            </w:r>
          </w:p>
        </w:tc>
        <w:tc>
          <w:tcPr>
            <w:tcW w:type="dxa" w:w="7142"/>
            <w:vAlign w:val="center"/>
            <w:shd w:fill="EBF3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Recommendation with its evidence, alternatives, dependencies and decisions still required.</w:t>
            </w:r>
          </w:p>
        </w:tc>
      </w:tr>
      <w:tr>
        <w:trPr>
          <w:cantSplit/>
        </w:trPr>
        <w:tc>
          <w:tcPr>
            <w:tcW w:type="dxa" w:w="302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Prepare connected material</w:t>
            </w:r>
          </w:p>
        </w:tc>
        <w:tc>
          <w:tcPr>
            <w:tcW w:type="dxa" w:w="7142"/>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Aligned proposal material, presentation, presenter notes, commercial assumptions and evidence record.</w:t>
            </w:r>
          </w:p>
        </w:tc>
      </w:tr>
    </w:tbl>
    <w:p>
      <w:pPr>
        <w:spacing w:before="160"/>
      </w:pPr>
      <w:r>
        <w:t>The customer must agree the specific output boundary and acceptance criteria before contracting. This proposal does not include organization-wide implementation or establish an effective statement of work.</w:t>
      </w:r>
    </w:p>
    <w:p>
      <w:r>
        <w:br w:type="page"/>
      </w:r>
    </w:p>
    <w:p>
      <w:pPr>
        <w:pStyle w:val="Heading1"/>
      </w:pPr>
      <w:r>
        <w:t>Delivery capacity and schedule</w:t>
      </w:r>
    </w:p>
    <w:p>
      <w:r>
        <w:t>The working reference remains six weeks and one team. A later request asks for four weeks without specialist coverage while retaining the outputs. The subsequent clarification leaves four weeks as an option; it does not replace the current reference. A practice lead can review scope, while specialist capacity and commercial inputs remain unresolved. [E3, C1, C2]</w:t>
      </w:r>
    </w:p>
    <w:p>
      <w:r>
        <w:t>A shorter schedule needs an explicit delivery decision. Assess whether another person has the necessary judgment, authority and available capacity. Alternatively, consider phased entry or a revised output boundary. Equivalent delivery, phasing and reduced scope are different choices and must not be treated as interchangeable.</w:t>
      </w:r>
    </w:p>
    <w:p>
      <w:pPr>
        <w:pStyle w:val="Heading1"/>
      </w:pPr>
      <w:r>
        <w:t>Responsibilities to confirm</w:t>
      </w:r>
    </w:p>
    <w:tbl>
      <w:tblPr>
        <w:tblW w:type="auto" w:w="0"/>
        <w:jc w:val="center"/>
        <w:tblLayout w:type="fixed"/>
        <w:tblLook w:firstColumn="1" w:firstRow="1" w:lastColumn="0" w:lastRow="0" w:noHBand="0" w:noVBand="1" w:val="04A0"/>
      </w:tblPr>
      <w:tblGrid>
        <w:gridCol w:w="3024"/>
        <w:gridCol w:w="7142"/>
      </w:tblGrid>
      <w:tr>
        <w:trPr>
          <w:cantSplit/>
          <w:tblHeader/>
        </w:trPr>
        <w:tc>
          <w:tcPr>
            <w:tcW w:type="dxa" w:w="3024"/>
            <w:vAlign w:val="center"/>
            <w:shd w:fill="0C2340"/>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Decision</w:t>
            </w:r>
          </w:p>
        </w:tc>
        <w:tc>
          <w:tcPr>
            <w:tcW w:type="dxa" w:w="7142"/>
            <w:vAlign w:val="center"/>
            <w:shd w:fill="0C2340"/>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color w:val="FFFFFF"/>
                <w:sz w:val="19"/>
              </w:rPr>
              <w:t>Required confirmation</w:t>
            </w:r>
          </w:p>
        </w:tc>
      </w:tr>
      <w:tr>
        <w:trPr>
          <w:cantSplit/>
        </w:trPr>
        <w:tc>
          <w:tcPr>
            <w:tcW w:type="dxa" w:w="3024"/>
            <w:vAlign w:val="center"/>
            <w:shd w:fill="EBF3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Pilot objective and review</w:t>
            </w:r>
          </w:p>
        </w:tc>
        <w:tc>
          <w:tcPr>
            <w:tcW w:type="dxa" w:w="7142"/>
            <w:vAlign w:val="center"/>
            <w:shd w:fill="EBF3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Confirm the objective, accountable reviewer and acceptance criteria.</w:t>
            </w:r>
          </w:p>
        </w:tc>
      </w:tr>
      <w:tr>
        <w:trPr>
          <w:cantSplit/>
        </w:trPr>
        <w:tc>
          <w:tcPr>
            <w:tcW w:type="dxa" w:w="302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Specialist contribution</w:t>
            </w:r>
          </w:p>
        </w:tc>
        <w:tc>
          <w:tcPr>
            <w:tcW w:type="dxa" w:w="7142"/>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Confirm the person, relevant capability and available capacity. A role title alone is insufficient.</w:t>
            </w:r>
          </w:p>
        </w:tc>
      </w:tr>
      <w:tr>
        <w:trPr>
          <w:cantSplit/>
        </w:trPr>
        <w:tc>
          <w:tcPr>
            <w:tcW w:type="dxa" w:w="3024"/>
            <w:vAlign w:val="center"/>
            <w:shd w:fill="EBF3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Customer inputs</w:t>
            </w:r>
          </w:p>
        </w:tc>
        <w:tc>
          <w:tcPr>
            <w:tcW w:type="dxa" w:w="7142"/>
            <w:vAlign w:val="center"/>
            <w:shd w:fill="EBF3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Provide permitted source material, requirements, templates, effort and rate inputs.</w:t>
            </w:r>
          </w:p>
        </w:tc>
      </w:tr>
      <w:tr>
        <w:trPr>
          <w:cantSplit/>
        </w:trPr>
        <w:tc>
          <w:tcPr>
            <w:tcW w:type="dxa" w:w="302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Delivery commitments</w:t>
            </w:r>
          </w:p>
        </w:tc>
        <w:tc>
          <w:tcPr>
            <w:tcW w:type="dxa" w:w="7142"/>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40" w:line="252" w:lineRule="auto"/>
            </w:pPr>
            <w:r>
              <w:rPr>
                <w:b w:val="0"/>
                <w:color w:val="213A54"/>
                <w:sz w:val="19"/>
              </w:rPr>
              <w:t>Agree the scope, schedule and responsibilities before authorizing release.</w:t>
            </w:r>
          </w:p>
        </w:tc>
      </w:tr>
    </w:tbl>
    <w:p>
      <w:pPr>
        <w:pStyle w:val="Heading1"/>
      </w:pPr>
      <w:r>
        <w:t>Commercial basis</w:t>
      </w:r>
    </w:p>
    <w:p>
      <w:r>
        <w:t>Effort, rates, contingency, fees and payment terms remain open. The accompanying commercial-input workbook requires authorized inputs before an estimate can be reviewed. No amount is approved in this proposal. The consulting firm's delivery estimate is separate from any Stratum product purchase.</w:t>
      </w:r>
    </w:p>
    <w:p>
      <w:pPr>
        <w:pStyle w:val="Heading1"/>
      </w:pPr>
      <w:r>
        <w:t>Next decision and change control</w:t>
      </w:r>
    </w:p>
    <w:p>
      <w:r>
        <w:t>Confirm the delivery boundary and resolve capacity before making a commitment. If a change is accepted, review the affected proposal, presenter material and commercial assumptions together. Preserve the valid source inventory and the history of the four-week request. The customer reviews the specific revision and authorizes external release separately.</w:t>
      </w:r>
    </w:p>
    <w:p>
      <w:pPr>
        <w:pStyle w:val="Heading1"/>
      </w:pPr>
      <w:r>
        <w:t>Source record</w:t>
      </w:r>
    </w:p>
    <w:p>
      <w:r>
        <w:t>The accompanying sample evidence ledger identifies E1 and E2 as statements from Interaction 1, E3 as the six-week scope, H1 as an unproven hypothesis, C1 as the later change request and C2 as the clarification. This written proposal follows the same reference as the six-slide presentation, presenter script, scope outline and commercial-input workbook.</w:t>
      </w:r>
    </w:p>
    <w:sectPr>
      <w:headerReference w:type="default" r:id="rId9"/>
      <w:footerReference w:type="default" r:id="rId10"/>
      <w:pgSz w:w="12240" w:h="15840"/>
      <w:pgMar w:top="1008" w:right="1037" w:bottom="1008"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50647A"/>
        <w:sz w:val="16"/>
      </w:rPr>
      <w:t>Fictional material. Suggested wording. Customer review required.</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val="center" w:pos="5083"/>
        <w:tab w:val="right" w:pos="10166"/>
      </w:tabs>
      <w:spacing w:before="0" w:after="0"/>
    </w:pPr>
    <w:r xmlns:a="http://schemas.openxmlformats.org/drawingml/2006/main" xmlns:pic="http://schemas.openxmlformats.org/drawingml/2006/picture">
      <w:drawing>
        <wp:inline distT="0" distB="0" distL="0" distR="0">
          <wp:extent cx="872142" cy="254000"/>
          <wp:docPr id="1001" name="Stratum approved wordmark" descr="Stratum"/>
          <wp:cNvGraphicFramePr>
            <a:graphicFrameLocks noChangeAspect="1"/>
          </wp:cNvGraphicFramePr>
          <a:graphic>
            <a:graphicData uri="http://schemas.openxmlformats.org/drawingml/2006/picture">
              <pic:pic>
                <pic:nvPicPr>
                  <pic:cNvPr id="0" name="Stratum" descr="Stratum"/>
                  <pic:cNvPicPr/>
                </pic:nvPicPr>
                <pic:blipFill>
                  <a:blip r:embed="rIdStratumBrand"/>
                  <a:stretch>
                    <a:fillRect/>
                  </a:stretch>
                </pic:blipFill>
                <pic:spPr>
                  <a:xfrm>
                    <a:off x="0" y="0"/>
                    <a:ext cx="872142" cy="254000"/>
                  </a:xfrm>
                  <a:prstGeom prst="rect">
                    <a:avLst/>
                  </a:prstGeom>
                </pic:spPr>
              </pic:pic>
            </a:graphicData>
          </a:graphic>
        </wp:inline>
      </w:drawing>
    </w:r>
    <w:r>
      <w:tab/>
    </w:r>
    <w:r>
      <w:rPr>
        <w:b/>
        <w:color w:val="0369A1"/>
        <w:sz w:val="16"/>
      </w:rPr>
      <w:t>STRATUM  /  ILLUSTRATIVE PROPOSAL</w:t>
    </w:r>
    <w:r>
      <w:tab/>
    </w:r>
    <w:r>
      <w:rPr>
        <w:rFonts w:ascii="Geist" w:hAnsi="Geist"/>
        <w:b/>
        <w:color w:val="0C2340"/>
        <w:sz w:val="20"/>
      </w:rPr>
      <w:t>stratumgenops.com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64" w:lineRule="auto"/>
    </w:pPr>
    <w:rPr>
      <w:rFonts w:ascii="Arial" w:hAnsi="Arial"/>
      <w:color w:val="213A54"/>
      <w:sz w:val="21"/>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Heading1">
    <w:name w:val="heading 1"/>
    <w:basedOn w:val="Normal"/>
    <w:next w:val="Normal"/>
    <w:link w:val="Heading1Char"/>
    <w:uiPriority w:val="9"/>
    <w:qFormat/>
    <w:pPr>
      <w:keepNext/>
      <w:keepLines/>
      <w:spacing w:before="24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pPr>
      <w:keepNext/>
      <w:keepLines/>
      <w:spacing w:before="24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spacing w:after="140" w:line="240" w:lineRule="auto" w:before="0"/>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spacing w:before="0" w:after="140"/>
    </w:pPr>
    <w:rPr>
      <w:rFonts w:asciiTheme="majorHAnsi" w:eastAsiaTheme="majorEastAsia" w:hAnsiTheme="majorHAnsi" w:cstheme="majorBidi" w:ascii="Arial" w:hAnsi="Arial"/>
      <w:i/>
      <w:iCs/>
      <w:color w:val="50647A"/>
      <w:spacing w:val="15"/>
      <w:sz w:val="22"/>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ns0:Relationships xmlns:ns0="http://schemas.openxmlformats.org/package/2006/relationships"><ns0:Relationship Id="rIdStratumBrand" Type="http://schemas.openxmlformats.org/officeDocument/2006/relationships/image" Target="media/stratum-document-wordmark.png"/></ns0: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decision pilot</dc:title>
  <dc:subject>Illustrative written proposal for a six-week pilot with one team</dc:subject>
  <cp:keywords>Stratum, illustrative sample, proposal, six-week pilot</cp:keywords>
  <cp:category/>
</cp:coreProperties>
</file>